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1B33" w14:textId="77777777" w:rsidR="00316537" w:rsidRPr="00F22A23" w:rsidRDefault="00316537" w:rsidP="00316537">
      <w:pPr>
        <w:pStyle w:val="Heading1"/>
        <w:numPr>
          <w:ilvl w:val="0"/>
          <w:numId w:val="0"/>
        </w:numPr>
      </w:pPr>
      <w:bookmarkStart w:id="0" w:name="_Ref427924850"/>
      <w:bookmarkStart w:id="1" w:name="_Ref427925390"/>
      <w:bookmarkStart w:id="2" w:name="_Ref427925852"/>
      <w:bookmarkStart w:id="3" w:name="_Toc427928479"/>
      <w:bookmarkStart w:id="4" w:name="_Toc428792344"/>
      <w:bookmarkStart w:id="5" w:name="_Toc449712878"/>
      <w:bookmarkStart w:id="6" w:name="_Toc450232067"/>
      <w:bookmarkStart w:id="7" w:name="_GoBack"/>
      <w:bookmarkEnd w:id="7"/>
      <w:r w:rsidRPr="00F22A23">
        <w:t xml:space="preserve">Schedule </w:t>
      </w:r>
      <w:r>
        <w:t xml:space="preserve">D: </w:t>
      </w:r>
      <w:r w:rsidRPr="00F22A23">
        <w:t>Fruit Fly Council Terms of Reference</w:t>
      </w:r>
      <w:bookmarkEnd w:id="0"/>
      <w:bookmarkEnd w:id="1"/>
      <w:bookmarkEnd w:id="2"/>
      <w:bookmarkEnd w:id="3"/>
      <w:bookmarkEnd w:id="4"/>
      <w:bookmarkEnd w:id="5"/>
      <w:bookmarkEnd w:id="6"/>
    </w:p>
    <w:p w14:paraId="27D44C8B" w14:textId="77777777" w:rsidR="00316537" w:rsidRDefault="00316537" w:rsidP="00316537">
      <w:pPr>
        <w:pStyle w:val="StyleA"/>
        <w:numPr>
          <w:ilvl w:val="0"/>
          <w:numId w:val="12"/>
        </w:numPr>
      </w:pPr>
      <w:r w:rsidRPr="00206D74">
        <w:t>Background</w:t>
      </w:r>
    </w:p>
    <w:p w14:paraId="1689423F" w14:textId="77777777" w:rsidR="00316537" w:rsidRPr="007B6DA9" w:rsidRDefault="00316537" w:rsidP="00316537">
      <w:pPr>
        <w:pStyle w:val="AppendBody"/>
      </w:pPr>
      <w:r w:rsidRPr="007B6DA9">
        <w:t xml:space="preserve">MPI and horticulture industry organisations </w:t>
      </w:r>
      <w:r>
        <w:t>have</w:t>
      </w:r>
      <w:r w:rsidRPr="007B6DA9">
        <w:t xml:space="preserve"> develop</w:t>
      </w:r>
      <w:r>
        <w:t>ed</w:t>
      </w:r>
      <w:r w:rsidRPr="007B6DA9">
        <w:t xml:space="preserve"> a fruit fly Operational Agreement (OA) </w:t>
      </w:r>
      <w:r>
        <w:t xml:space="preserve">through shared commitment to the Government Industry Agreements. The OA </w:t>
      </w:r>
      <w:r w:rsidRPr="007B6DA9">
        <w:t>establish</w:t>
      </w:r>
      <w:r>
        <w:t>es</w:t>
      </w:r>
      <w:r w:rsidRPr="007B6DA9">
        <w:t xml:space="preserve"> the partnership arrangements and areas of future readiness and response work to enhance the management of the risks to New Zealand associated with fruit </w:t>
      </w:r>
      <w:r>
        <w:t>fly</w:t>
      </w:r>
      <w:r w:rsidRPr="007B6DA9">
        <w:t xml:space="preserve">. </w:t>
      </w:r>
    </w:p>
    <w:p w14:paraId="2ABF24E2" w14:textId="77777777" w:rsidR="00316537" w:rsidRPr="007B6DA9" w:rsidRDefault="00316537" w:rsidP="00316537">
      <w:pPr>
        <w:pStyle w:val="AppendBody"/>
      </w:pPr>
      <w:r w:rsidRPr="007B6DA9">
        <w:t xml:space="preserve">The </w:t>
      </w:r>
      <w:r>
        <w:t>P</w:t>
      </w:r>
      <w:r w:rsidRPr="007B6DA9">
        <w:t xml:space="preserve">arties recognise that to effectively manage these risks, all parts of the biosecurity system need to be effective, including pre-border and border measures. </w:t>
      </w:r>
    </w:p>
    <w:p w14:paraId="01F6BC36" w14:textId="77777777" w:rsidR="00316537" w:rsidRDefault="00316537" w:rsidP="00316537">
      <w:pPr>
        <w:pStyle w:val="AppendBody"/>
      </w:pPr>
      <w:r>
        <w:t>The</w:t>
      </w:r>
      <w:r w:rsidRPr="007B6DA9">
        <w:t xml:space="preserve"> </w:t>
      </w:r>
      <w:r>
        <w:t xml:space="preserve">Fruit Fly </w:t>
      </w:r>
      <w:r w:rsidRPr="007B6DA9">
        <w:t>Council</w:t>
      </w:r>
      <w:r>
        <w:t xml:space="preserve"> (FFC)</w:t>
      </w:r>
      <w:r w:rsidRPr="007B6DA9">
        <w:t xml:space="preserve"> </w:t>
      </w:r>
      <w:r>
        <w:t>will</w:t>
      </w:r>
      <w:r w:rsidRPr="007B6DA9">
        <w:t xml:space="preserve"> ensure</w:t>
      </w:r>
      <w:r>
        <w:t xml:space="preserve"> that the</w:t>
      </w:r>
      <w:r w:rsidRPr="007B6DA9">
        <w:t xml:space="preserve"> fruit fly OA is </w:t>
      </w:r>
      <w:r>
        <w:t>managed</w:t>
      </w:r>
      <w:r w:rsidRPr="007B6DA9">
        <w:t xml:space="preserve"> in an effective and timely manner in accordance with agreed strategic outcomes and principles.</w:t>
      </w:r>
    </w:p>
    <w:p w14:paraId="719F0961" w14:textId="77777777" w:rsidR="00316537" w:rsidRPr="00AA0041" w:rsidRDefault="00316537" w:rsidP="00316537">
      <w:pPr>
        <w:pStyle w:val="AppendBody"/>
      </w:pPr>
      <w:r>
        <w:t xml:space="preserve">The FFC will appoint and fund an Administrator who </w:t>
      </w:r>
      <w:r w:rsidRPr="00AA0041">
        <w:t xml:space="preserve">is responsible for the </w:t>
      </w:r>
      <w:r>
        <w:t>A</w:t>
      </w:r>
      <w:r w:rsidRPr="00AA0041">
        <w:t>dministration of the Fruit Fly Operational Agreement.</w:t>
      </w:r>
    </w:p>
    <w:p w14:paraId="7D37BD0E" w14:textId="77777777" w:rsidR="00316537" w:rsidRDefault="00316537" w:rsidP="00316537">
      <w:pPr>
        <w:pStyle w:val="StyleA"/>
      </w:pPr>
      <w:r w:rsidRPr="00206D74">
        <w:t>Role</w:t>
      </w:r>
    </w:p>
    <w:p w14:paraId="5E5CCBBA" w14:textId="77777777" w:rsidR="00316537" w:rsidRDefault="00316537" w:rsidP="00316537">
      <w:pPr>
        <w:pStyle w:val="AppendBody"/>
      </w:pPr>
      <w:r>
        <w:t>The role of the FFC is to</w:t>
      </w:r>
      <w:r w:rsidRPr="007B6DA9">
        <w:t xml:space="preserve"> provide strategic leadership and oversee </w:t>
      </w:r>
      <w:r>
        <w:t>the provisions contained within the</w:t>
      </w:r>
      <w:r w:rsidRPr="007B6DA9">
        <w:t xml:space="preserve"> OA for fruit </w:t>
      </w:r>
      <w:r>
        <w:t>fly</w:t>
      </w:r>
      <w:r w:rsidRPr="007B6DA9">
        <w:t xml:space="preserve">, which identifies opportunities to enhance the management of fruit fly risks across the </w:t>
      </w:r>
      <w:r w:rsidRPr="00FD1598">
        <w:t>biosecurity system, including undertaking a</w:t>
      </w:r>
      <w:r>
        <w:t xml:space="preserve"> fruit fly OA</w:t>
      </w:r>
      <w:r w:rsidRPr="00FD1598">
        <w:t xml:space="preserve"> readiness and response work program, for achieving this outcome</w:t>
      </w:r>
      <w:r w:rsidRPr="007B6DA9">
        <w:t>.</w:t>
      </w:r>
    </w:p>
    <w:p w14:paraId="29009256" w14:textId="77777777" w:rsidR="00316537" w:rsidRDefault="00316537" w:rsidP="00316537">
      <w:pPr>
        <w:pStyle w:val="StyleA"/>
      </w:pPr>
      <w:r w:rsidRPr="00206D74">
        <w:t>Responsibilities</w:t>
      </w:r>
    </w:p>
    <w:p w14:paraId="15FAB913" w14:textId="77777777" w:rsidR="00316537" w:rsidRPr="007B6DA9" w:rsidRDefault="00316537" w:rsidP="00316537">
      <w:pPr>
        <w:pStyle w:val="AppendBody"/>
      </w:pPr>
      <w:r>
        <w:t>The</w:t>
      </w:r>
      <w:r w:rsidRPr="007B6DA9">
        <w:t xml:space="preserve"> Council will:</w:t>
      </w:r>
    </w:p>
    <w:p w14:paraId="4E9ABA7C" w14:textId="77777777" w:rsidR="00316537" w:rsidRDefault="00316537" w:rsidP="00316537">
      <w:pPr>
        <w:pStyle w:val="ListParagraph"/>
        <w:numPr>
          <w:ilvl w:val="0"/>
          <w:numId w:val="4"/>
        </w:numPr>
      </w:pPr>
      <w:r w:rsidRPr="007B6DA9">
        <w:t xml:space="preserve">Represent the collective interests of </w:t>
      </w:r>
      <w:r>
        <w:t xml:space="preserve">MPI and </w:t>
      </w:r>
      <w:r w:rsidRPr="007B6DA9">
        <w:t xml:space="preserve">the </w:t>
      </w:r>
      <w:r>
        <w:t>I</w:t>
      </w:r>
      <w:r w:rsidRPr="007B6DA9">
        <w:t>ndustr</w:t>
      </w:r>
      <w:r>
        <w:t>y</w:t>
      </w:r>
      <w:r w:rsidRPr="007B6DA9">
        <w:t xml:space="preserve"> </w:t>
      </w:r>
      <w:r>
        <w:t xml:space="preserve">Signatories </w:t>
      </w:r>
      <w:r w:rsidRPr="007B6DA9">
        <w:t xml:space="preserve">potentially affected by fruit fly </w:t>
      </w:r>
      <w:r>
        <w:t>in</w:t>
      </w:r>
      <w:r w:rsidRPr="007B6DA9">
        <w:t xml:space="preserve"> the </w:t>
      </w:r>
      <w:r>
        <w:t>governance</w:t>
      </w:r>
      <w:r w:rsidRPr="007B6DA9">
        <w:t xml:space="preserve"> of the OA and ensure that appropriate engagement mechanisms are in place</w:t>
      </w:r>
      <w:r>
        <w:t xml:space="preserve"> between the Council and its stakeholders. MPI will also represent the interests of non-Signatory beneficiaries.</w:t>
      </w:r>
    </w:p>
    <w:p w14:paraId="20F103CF" w14:textId="77777777" w:rsidR="00316537" w:rsidRPr="008C245C" w:rsidRDefault="00316537" w:rsidP="00316537">
      <w:pPr>
        <w:pStyle w:val="ListParagraph"/>
        <w:numPr>
          <w:ilvl w:val="0"/>
          <w:numId w:val="4"/>
        </w:numPr>
      </w:pPr>
      <w:r>
        <w:t>E</w:t>
      </w:r>
      <w:r w:rsidRPr="008C245C">
        <w:t>stablish pol</w:t>
      </w:r>
      <w:r>
        <w:t xml:space="preserve">icies and procedures to ensure </w:t>
      </w:r>
      <w:r w:rsidRPr="008C245C">
        <w:t xml:space="preserve">efficient and fair governance practices. </w:t>
      </w:r>
    </w:p>
    <w:p w14:paraId="592BF117" w14:textId="77777777" w:rsidR="00316537" w:rsidRPr="000736E3" w:rsidRDefault="00316537" w:rsidP="00316537">
      <w:pPr>
        <w:pStyle w:val="ListParagraph"/>
        <w:numPr>
          <w:ilvl w:val="0"/>
          <w:numId w:val="4"/>
        </w:numPr>
      </w:pPr>
      <w:r w:rsidRPr="007B6DA9">
        <w:t xml:space="preserve">Exchange information </w:t>
      </w:r>
      <w:r>
        <w:t xml:space="preserve">between its members and their organisations </w:t>
      </w:r>
      <w:r w:rsidRPr="007B6DA9">
        <w:t xml:space="preserve">on the biosecurity system to develop a </w:t>
      </w:r>
      <w:r w:rsidRPr="000736E3">
        <w:t>common understanding of the risk management of fruit fly across the biosecurity system (current state) to inform priority areas of review and potential innovation in the fruit fly OA.</w:t>
      </w:r>
    </w:p>
    <w:p w14:paraId="05CCF7D8" w14:textId="77777777" w:rsidR="00316537" w:rsidRPr="000736E3" w:rsidRDefault="00316537" w:rsidP="00316537">
      <w:pPr>
        <w:pStyle w:val="ListParagraph"/>
        <w:numPr>
          <w:ilvl w:val="0"/>
          <w:numId w:val="4"/>
        </w:numPr>
      </w:pPr>
      <w:r w:rsidRPr="000736E3">
        <w:t>Agree priority additional readiness activities and approve associated funding</w:t>
      </w:r>
      <w:r>
        <w:t xml:space="preserve"> for an Annual Readiness Work Plan</w:t>
      </w:r>
      <w:r w:rsidRPr="000736E3">
        <w:t>.</w:t>
      </w:r>
    </w:p>
    <w:p w14:paraId="234CCFF2" w14:textId="77777777" w:rsidR="00316537" w:rsidRPr="000736E3" w:rsidRDefault="00316537" w:rsidP="00316537">
      <w:pPr>
        <w:pStyle w:val="ListParagraph"/>
        <w:numPr>
          <w:ilvl w:val="0"/>
          <w:numId w:val="4"/>
        </w:numPr>
      </w:pPr>
      <w:r w:rsidRPr="000736E3">
        <w:t>Retain oversight of the delivery of specific additional readiness activities.</w:t>
      </w:r>
    </w:p>
    <w:p w14:paraId="54D22C69" w14:textId="77777777" w:rsidR="00316537" w:rsidRPr="000736E3" w:rsidRDefault="00316537" w:rsidP="00316537">
      <w:pPr>
        <w:pStyle w:val="ListParagraph"/>
        <w:numPr>
          <w:ilvl w:val="0"/>
          <w:numId w:val="4"/>
        </w:numPr>
      </w:pPr>
      <w:r w:rsidRPr="000736E3">
        <w:t>Task technical working groups, as necessary, to develop options and recommendations for enhancing priority areas of the fruit fly management system for the OA, including:</w:t>
      </w:r>
    </w:p>
    <w:p w14:paraId="1DFEAC83" w14:textId="77777777" w:rsidR="00316537" w:rsidRPr="000736E3" w:rsidRDefault="00316537" w:rsidP="00316537">
      <w:pPr>
        <w:pStyle w:val="ListParagraph"/>
        <w:numPr>
          <w:ilvl w:val="0"/>
          <w:numId w:val="5"/>
        </w:numPr>
      </w:pPr>
      <w:r w:rsidRPr="000736E3">
        <w:t>Approving terms of reference</w:t>
      </w:r>
      <w:r>
        <w:t>.</w:t>
      </w:r>
    </w:p>
    <w:p w14:paraId="4E2CD470" w14:textId="77777777" w:rsidR="00316537" w:rsidRPr="000736E3" w:rsidRDefault="00316537" w:rsidP="00316537">
      <w:pPr>
        <w:pStyle w:val="ListParagraph"/>
        <w:numPr>
          <w:ilvl w:val="0"/>
          <w:numId w:val="5"/>
        </w:numPr>
      </w:pPr>
      <w:r w:rsidRPr="000736E3">
        <w:t>Appointing members</w:t>
      </w:r>
      <w:r>
        <w:t>.</w:t>
      </w:r>
    </w:p>
    <w:p w14:paraId="28DEA508" w14:textId="77777777" w:rsidR="00316537" w:rsidRPr="000736E3" w:rsidRDefault="00316537" w:rsidP="00316537">
      <w:pPr>
        <w:pStyle w:val="ListParagraph"/>
        <w:numPr>
          <w:ilvl w:val="0"/>
          <w:numId w:val="5"/>
        </w:numPr>
      </w:pPr>
      <w:r w:rsidRPr="000736E3">
        <w:lastRenderedPageBreak/>
        <w:t>Outlining the tasks and guiding the work of the technical working groups</w:t>
      </w:r>
      <w:r>
        <w:t>.</w:t>
      </w:r>
    </w:p>
    <w:p w14:paraId="006DDD4E" w14:textId="77777777" w:rsidR="00316537" w:rsidRPr="000736E3" w:rsidRDefault="00316537" w:rsidP="00316537">
      <w:pPr>
        <w:pStyle w:val="ListParagraph"/>
        <w:numPr>
          <w:ilvl w:val="0"/>
          <w:numId w:val="5"/>
        </w:numPr>
      </w:pPr>
      <w:r w:rsidRPr="000736E3">
        <w:t>Disestablishing the working groups when appropriate</w:t>
      </w:r>
      <w:r>
        <w:t>.</w:t>
      </w:r>
    </w:p>
    <w:p w14:paraId="11CFB20F" w14:textId="77777777" w:rsidR="00316537" w:rsidRPr="000736E3" w:rsidRDefault="00316537" w:rsidP="00316537">
      <w:pPr>
        <w:pStyle w:val="ListParagraph"/>
        <w:numPr>
          <w:ilvl w:val="0"/>
          <w:numId w:val="4"/>
        </w:numPr>
      </w:pPr>
      <w:r w:rsidRPr="000736E3">
        <w:t xml:space="preserve">Approve the annual report. </w:t>
      </w:r>
    </w:p>
    <w:p w14:paraId="67EEB02E" w14:textId="77777777" w:rsidR="00316537" w:rsidRDefault="00316537" w:rsidP="00316537">
      <w:pPr>
        <w:pStyle w:val="ListParagraph"/>
        <w:numPr>
          <w:ilvl w:val="0"/>
          <w:numId w:val="4"/>
        </w:numPr>
      </w:pPr>
      <w:r>
        <w:t>Appoint and agree to fund the Administrator as a readiness activity, who will be responsible for:</w:t>
      </w:r>
    </w:p>
    <w:p w14:paraId="4AE9CC09" w14:textId="77777777" w:rsidR="00316537" w:rsidRDefault="00316537" w:rsidP="00316537">
      <w:pPr>
        <w:pStyle w:val="ListParagraph"/>
        <w:numPr>
          <w:ilvl w:val="0"/>
          <w:numId w:val="6"/>
        </w:numPr>
      </w:pPr>
      <w:r w:rsidRPr="00AA0041">
        <w:t xml:space="preserve">The OA Repository – the </w:t>
      </w:r>
      <w:r>
        <w:t>A</w:t>
      </w:r>
      <w:r w:rsidRPr="00AA0041">
        <w:t>dministrator stores the master copy of the OA and associated documents. In the case of any disputes the master copy is the definitive reference.</w:t>
      </w:r>
    </w:p>
    <w:p w14:paraId="0645460C" w14:textId="77777777" w:rsidR="00316537" w:rsidRPr="00DB4F7D" w:rsidRDefault="00316537" w:rsidP="00316537">
      <w:pPr>
        <w:pStyle w:val="ListParagraph"/>
        <w:numPr>
          <w:ilvl w:val="0"/>
          <w:numId w:val="6"/>
        </w:numPr>
      </w:pPr>
      <w:r w:rsidRPr="00DB4F7D">
        <w:t xml:space="preserve">General administration duties including, arranging, minute taking and reporting </w:t>
      </w:r>
      <w:r>
        <w:t>(including clause 7.3).</w:t>
      </w:r>
    </w:p>
    <w:p w14:paraId="2A9CE67E" w14:textId="77777777" w:rsidR="00316537" w:rsidRPr="00AA0041" w:rsidRDefault="00316537" w:rsidP="00316537">
      <w:pPr>
        <w:pStyle w:val="ListParagraph"/>
        <w:numPr>
          <w:ilvl w:val="0"/>
          <w:numId w:val="6"/>
        </w:numPr>
      </w:pPr>
      <w:bookmarkStart w:id="8" w:name="_Ref427925909"/>
      <w:r w:rsidRPr="00AA0041">
        <w:t>Managing the voluntary contributions register</w:t>
      </w:r>
      <w:r>
        <w:t xml:space="preserve"> </w:t>
      </w:r>
      <w:r w:rsidRPr="00AA0041">
        <w:t>(</w:t>
      </w:r>
      <w:r>
        <w:t>Schedule I</w:t>
      </w:r>
      <w:r w:rsidRPr="00AA0041">
        <w:t>)</w:t>
      </w:r>
      <w:bookmarkEnd w:id="8"/>
      <w:r>
        <w:t>.</w:t>
      </w:r>
    </w:p>
    <w:p w14:paraId="60434916" w14:textId="77777777" w:rsidR="00316537" w:rsidRPr="00AA0041" w:rsidRDefault="00316537" w:rsidP="00316537">
      <w:pPr>
        <w:pStyle w:val="ListParagraph"/>
        <w:numPr>
          <w:ilvl w:val="0"/>
          <w:numId w:val="6"/>
        </w:numPr>
      </w:pPr>
      <w:r w:rsidRPr="00AA0041">
        <w:t>Funding administration (</w:t>
      </w:r>
      <w:r>
        <w:t>c</w:t>
      </w:r>
      <w:r w:rsidRPr="00AA0041">
        <w:t>lause</w:t>
      </w:r>
      <w:r>
        <w:t xml:space="preserve"> 10.9).</w:t>
      </w:r>
    </w:p>
    <w:p w14:paraId="1057BE9E" w14:textId="77777777" w:rsidR="00316537" w:rsidRPr="00AA0041" w:rsidRDefault="00316537" w:rsidP="00316537">
      <w:pPr>
        <w:pStyle w:val="ListParagraph"/>
        <w:numPr>
          <w:ilvl w:val="0"/>
          <w:numId w:val="6"/>
        </w:numPr>
      </w:pPr>
      <w:r w:rsidRPr="00AA0041">
        <w:t xml:space="preserve">Managing </w:t>
      </w:r>
      <w:r>
        <w:t>C</w:t>
      </w:r>
      <w:r w:rsidRPr="00AA0041">
        <w:t xml:space="preserve">onflict of </w:t>
      </w:r>
      <w:r>
        <w:t>I</w:t>
      </w:r>
      <w:r w:rsidRPr="00AA0041">
        <w:t>nterest (</w:t>
      </w:r>
      <w:r>
        <w:t>c</w:t>
      </w:r>
      <w:r w:rsidRPr="00AA0041">
        <w:t xml:space="preserve">lause </w:t>
      </w:r>
      <w:r>
        <w:t>15</w:t>
      </w:r>
      <w:r w:rsidRPr="00AA0041">
        <w:t>)</w:t>
      </w:r>
      <w:r>
        <w:t>.</w:t>
      </w:r>
      <w:r w:rsidRPr="00AA0041">
        <w:t xml:space="preserve"> </w:t>
      </w:r>
    </w:p>
    <w:p w14:paraId="11385CE9" w14:textId="77777777" w:rsidR="00316537" w:rsidRPr="00AA0041" w:rsidRDefault="00316537" w:rsidP="00316537">
      <w:pPr>
        <w:pStyle w:val="ListParagraph"/>
        <w:numPr>
          <w:ilvl w:val="0"/>
          <w:numId w:val="6"/>
        </w:numPr>
      </w:pPr>
      <w:r w:rsidRPr="00AA0041">
        <w:t>Variations</w:t>
      </w:r>
      <w:r>
        <w:t xml:space="preserve"> (clause 17.8).</w:t>
      </w:r>
    </w:p>
    <w:p w14:paraId="3A51223F" w14:textId="77777777" w:rsidR="00316537" w:rsidRDefault="00316537" w:rsidP="00316537">
      <w:pPr>
        <w:pStyle w:val="ListParagraph"/>
        <w:numPr>
          <w:ilvl w:val="0"/>
          <w:numId w:val="6"/>
        </w:numPr>
      </w:pPr>
      <w:r>
        <w:t>Communications (clause 7.4).</w:t>
      </w:r>
    </w:p>
    <w:p w14:paraId="559BAF4A" w14:textId="77777777" w:rsidR="00316537" w:rsidRPr="009A38C1" w:rsidRDefault="00316537" w:rsidP="00316537">
      <w:pPr>
        <w:pStyle w:val="ListParagraph"/>
        <w:numPr>
          <w:ilvl w:val="0"/>
          <w:numId w:val="6"/>
        </w:numPr>
      </w:pPr>
      <w:r w:rsidRPr="00AA0041">
        <w:t>Holding and verifying cost shares (</w:t>
      </w:r>
      <w:r w:rsidRPr="00635E61">
        <w:t>Schedule B: Cost shares</w:t>
      </w:r>
      <w:r w:rsidRPr="00AA0041">
        <w:t>)</w:t>
      </w:r>
      <w:r>
        <w:t>.</w:t>
      </w:r>
    </w:p>
    <w:p w14:paraId="50A09302" w14:textId="77777777" w:rsidR="00316537" w:rsidRDefault="00316537" w:rsidP="00316537">
      <w:pPr>
        <w:pStyle w:val="StyleA"/>
      </w:pPr>
      <w:r w:rsidRPr="00206D74">
        <w:t>Modus operandi</w:t>
      </w:r>
    </w:p>
    <w:p w14:paraId="3B34877F" w14:textId="77777777" w:rsidR="00316537" w:rsidRPr="007B6DA9" w:rsidRDefault="00316537" w:rsidP="00316537">
      <w:pPr>
        <w:pStyle w:val="AppendBody"/>
        <w:rPr>
          <w:lang w:eastAsia="en-GB"/>
        </w:rPr>
      </w:pPr>
      <w:r w:rsidRPr="007B6DA9">
        <w:rPr>
          <w:lang w:eastAsia="en-GB"/>
        </w:rPr>
        <w:t xml:space="preserve">The </w:t>
      </w:r>
      <w:r w:rsidRPr="007B6DA9">
        <w:t xml:space="preserve">Council will be established </w:t>
      </w:r>
      <w:r>
        <w:t>upon signing the OA</w:t>
      </w:r>
      <w:r w:rsidRPr="00B54487">
        <w:t xml:space="preserve"> </w:t>
      </w:r>
      <w:r>
        <w:t>and</w:t>
      </w:r>
      <w:r w:rsidRPr="007B6DA9">
        <w:rPr>
          <w:lang w:eastAsia="en-GB"/>
        </w:rPr>
        <w:t xml:space="preserve"> will:</w:t>
      </w:r>
    </w:p>
    <w:p w14:paraId="693EEFD2" w14:textId="77777777" w:rsidR="00316537" w:rsidRPr="00845736" w:rsidRDefault="00316537" w:rsidP="00316537">
      <w:pPr>
        <w:pStyle w:val="ListParagraph"/>
        <w:numPr>
          <w:ilvl w:val="0"/>
          <w:numId w:val="7"/>
        </w:numPr>
      </w:pPr>
      <w:r w:rsidRPr="00845736">
        <w:t>Appoint a Chair from its members</w:t>
      </w:r>
      <w:r w:rsidRPr="00707031">
        <w:t xml:space="preserve"> </w:t>
      </w:r>
      <w:r w:rsidRPr="005564EB">
        <w:t>or appoint an independent Chair</w:t>
      </w:r>
      <w:r w:rsidRPr="00707031">
        <w:t>, who will lead with impartiality and drive the group to achieve its outcomes</w:t>
      </w:r>
      <w:r>
        <w:t>.</w:t>
      </w:r>
    </w:p>
    <w:p w14:paraId="2E833F94" w14:textId="77777777" w:rsidR="00316537" w:rsidRDefault="00316537" w:rsidP="00316537">
      <w:pPr>
        <w:pStyle w:val="ListParagraph"/>
        <w:numPr>
          <w:ilvl w:val="0"/>
          <w:numId w:val="7"/>
        </w:numPr>
      </w:pPr>
      <w:r w:rsidRPr="007B6DA9">
        <w:rPr>
          <w:lang w:eastAsia="en-GB"/>
        </w:rPr>
        <w:t xml:space="preserve">Meet </w:t>
      </w:r>
      <w:r>
        <w:rPr>
          <w:lang w:eastAsia="en-GB"/>
        </w:rPr>
        <w:t xml:space="preserve">at </w:t>
      </w:r>
      <w:r>
        <w:t>least two</w:t>
      </w:r>
      <w:r w:rsidRPr="0014296D">
        <w:t xml:space="preserve"> times per year</w:t>
      </w:r>
      <w:r>
        <w:t>, or as required, with one of these meetings</w:t>
      </w:r>
      <w:r w:rsidRPr="0014296D">
        <w:t xml:space="preserve"> deemed the </w:t>
      </w:r>
      <w:r>
        <w:t>‘</w:t>
      </w:r>
      <w:r w:rsidRPr="0014296D">
        <w:t>Annual meeting</w:t>
      </w:r>
      <w:r>
        <w:t>’</w:t>
      </w:r>
      <w:r w:rsidRPr="0014296D">
        <w:t xml:space="preserve">. These meetings will occur outside </w:t>
      </w:r>
      <w:r>
        <w:t>of any responses that may occur.</w:t>
      </w:r>
    </w:p>
    <w:p w14:paraId="7C2AE701" w14:textId="77777777" w:rsidR="00316537" w:rsidRPr="0014296D" w:rsidRDefault="00316537" w:rsidP="00316537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The annual meeting</w:t>
      </w:r>
      <w:r w:rsidRPr="0014296D">
        <w:rPr>
          <w:lang w:eastAsia="en-GB"/>
        </w:rPr>
        <w:t xml:space="preserve"> agenda</w:t>
      </w:r>
      <w:r>
        <w:rPr>
          <w:lang w:eastAsia="en-GB"/>
        </w:rPr>
        <w:t xml:space="preserve"> will</w:t>
      </w:r>
      <w:r w:rsidRPr="0014296D">
        <w:rPr>
          <w:lang w:eastAsia="en-GB"/>
        </w:rPr>
        <w:t>:</w:t>
      </w:r>
    </w:p>
    <w:p w14:paraId="14ED1431" w14:textId="77777777" w:rsidR="00316537" w:rsidRPr="000736E3" w:rsidRDefault="00316537" w:rsidP="00316537">
      <w:pPr>
        <w:pStyle w:val="ListParagraph"/>
        <w:numPr>
          <w:ilvl w:val="1"/>
          <w:numId w:val="9"/>
        </w:numPr>
      </w:pPr>
      <w:r w:rsidRPr="0014296D">
        <w:t xml:space="preserve">Review the </w:t>
      </w:r>
      <w:r>
        <w:t>A</w:t>
      </w:r>
      <w:r w:rsidRPr="000736E3">
        <w:t xml:space="preserve">nnual </w:t>
      </w:r>
      <w:r>
        <w:t>R</w:t>
      </w:r>
      <w:r w:rsidRPr="000736E3">
        <w:t xml:space="preserve">eadiness </w:t>
      </w:r>
      <w:r>
        <w:t>W</w:t>
      </w:r>
      <w:r w:rsidRPr="000736E3">
        <w:t xml:space="preserve">ork </w:t>
      </w:r>
      <w:r>
        <w:t>P</w:t>
      </w:r>
      <w:r w:rsidRPr="000736E3">
        <w:t>lan</w:t>
      </w:r>
      <w:r>
        <w:t>.</w:t>
      </w:r>
    </w:p>
    <w:p w14:paraId="662C54F8" w14:textId="77777777" w:rsidR="00316537" w:rsidRPr="000736E3" w:rsidRDefault="00316537" w:rsidP="00316537">
      <w:pPr>
        <w:pStyle w:val="ListParagraph"/>
        <w:numPr>
          <w:ilvl w:val="1"/>
          <w:numId w:val="9"/>
        </w:numPr>
      </w:pPr>
      <w:r w:rsidRPr="000736E3">
        <w:t>Set a budget and project plan for the group (i.e. includ</w:t>
      </w:r>
      <w:r>
        <w:t>ing</w:t>
      </w:r>
      <w:r w:rsidRPr="000736E3">
        <w:t xml:space="preserve"> any research, new activities, etc.)</w:t>
      </w:r>
      <w:r>
        <w:t>.</w:t>
      </w:r>
    </w:p>
    <w:p w14:paraId="4DC49EA3" w14:textId="77777777" w:rsidR="00316537" w:rsidRPr="000736E3" w:rsidRDefault="00316537" w:rsidP="00316537">
      <w:pPr>
        <w:pStyle w:val="ListParagraph"/>
        <w:numPr>
          <w:ilvl w:val="1"/>
          <w:numId w:val="9"/>
        </w:numPr>
      </w:pPr>
      <w:r w:rsidRPr="000736E3">
        <w:t>Reconfirm fiscal caps</w:t>
      </w:r>
      <w:r>
        <w:t>.</w:t>
      </w:r>
    </w:p>
    <w:p w14:paraId="0B06A650" w14:textId="77777777" w:rsidR="00316537" w:rsidRPr="000736E3" w:rsidRDefault="00316537" w:rsidP="00316537">
      <w:pPr>
        <w:pStyle w:val="ListParagraph"/>
        <w:numPr>
          <w:ilvl w:val="1"/>
          <w:numId w:val="9"/>
        </w:numPr>
      </w:pPr>
      <w:r w:rsidRPr="000736E3">
        <w:t>Receive Parties’ annual reports</w:t>
      </w:r>
      <w:r>
        <w:t>.</w:t>
      </w:r>
    </w:p>
    <w:p w14:paraId="19270F66" w14:textId="77777777" w:rsidR="00316537" w:rsidRPr="000736E3" w:rsidRDefault="00316537" w:rsidP="00316537">
      <w:pPr>
        <w:pStyle w:val="ListParagraph"/>
        <w:numPr>
          <w:ilvl w:val="0"/>
          <w:numId w:val="7"/>
        </w:numPr>
        <w:rPr>
          <w:lang w:eastAsia="en-GB"/>
        </w:rPr>
      </w:pPr>
      <w:r w:rsidRPr="000736E3">
        <w:t xml:space="preserve">Develop an </w:t>
      </w:r>
      <w:r>
        <w:t>A</w:t>
      </w:r>
      <w:r w:rsidRPr="000736E3">
        <w:t xml:space="preserve">nnual </w:t>
      </w:r>
      <w:r>
        <w:t>R</w:t>
      </w:r>
      <w:r w:rsidRPr="000736E3">
        <w:t xml:space="preserve">eadiness </w:t>
      </w:r>
      <w:r>
        <w:t>W</w:t>
      </w:r>
      <w:r w:rsidRPr="000736E3">
        <w:t xml:space="preserve">ork </w:t>
      </w:r>
      <w:r>
        <w:t>P</w:t>
      </w:r>
      <w:r w:rsidRPr="000736E3">
        <w:t>lan of activities to deliver upon the outcomes identified in the OA. The plan will include priorities, dependencies, resources, cost and timelines, as relevant and include a register of agreed additional readiness projects.</w:t>
      </w:r>
    </w:p>
    <w:p w14:paraId="0A8688B6" w14:textId="77777777" w:rsidR="00316537" w:rsidRPr="000736E3" w:rsidRDefault="00316537" w:rsidP="00316537">
      <w:pPr>
        <w:pStyle w:val="ListParagraph"/>
        <w:numPr>
          <w:ilvl w:val="0"/>
          <w:numId w:val="7"/>
        </w:numPr>
        <w:rPr>
          <w:lang w:eastAsia="en-GB"/>
        </w:rPr>
      </w:pPr>
      <w:r w:rsidRPr="000736E3">
        <w:lastRenderedPageBreak/>
        <w:t>Develop and approve readiness project briefs and append to the OA when initiated.</w:t>
      </w:r>
    </w:p>
    <w:p w14:paraId="66375A9F" w14:textId="77777777" w:rsidR="00316537" w:rsidRPr="000736E3" w:rsidRDefault="00316537" w:rsidP="00316537">
      <w:pPr>
        <w:pStyle w:val="ListParagraph"/>
        <w:numPr>
          <w:ilvl w:val="0"/>
          <w:numId w:val="7"/>
        </w:numPr>
        <w:rPr>
          <w:lang w:eastAsia="en-GB"/>
        </w:rPr>
      </w:pPr>
      <w:r w:rsidRPr="000736E3">
        <w:rPr>
          <w:lang w:eastAsia="en-GB"/>
        </w:rPr>
        <w:t>Be responsible for reporting progress and issues to their own organisations, subject to any identified commercial sensitivities.</w:t>
      </w:r>
      <w:r>
        <w:rPr>
          <w:lang w:eastAsia="en-GB"/>
        </w:rPr>
        <w:t xml:space="preserve"> </w:t>
      </w:r>
    </w:p>
    <w:p w14:paraId="749C81EA" w14:textId="77777777" w:rsidR="00316537" w:rsidRPr="004D53BC" w:rsidRDefault="00316537" w:rsidP="00316537">
      <w:pPr>
        <w:pStyle w:val="ListParagraph"/>
        <w:numPr>
          <w:ilvl w:val="0"/>
          <w:numId w:val="7"/>
        </w:numPr>
        <w:rPr>
          <w:lang w:eastAsia="en-GB"/>
        </w:rPr>
      </w:pPr>
      <w:r w:rsidRPr="000736E3">
        <w:t>Ensure all non-</w:t>
      </w:r>
      <w:r>
        <w:t>S</w:t>
      </w:r>
      <w:r w:rsidRPr="000736E3">
        <w:t xml:space="preserve">ignatory beneficiaries affected by fruit flies are consulted </w:t>
      </w:r>
      <w:r w:rsidRPr="007B6DA9">
        <w:t>and</w:t>
      </w:r>
      <w:r>
        <w:t>/or</w:t>
      </w:r>
      <w:r w:rsidRPr="007B6DA9">
        <w:t xml:space="preserve"> informed </w:t>
      </w:r>
      <w:r>
        <w:t>of the work of the Council and progress under the OA.</w:t>
      </w:r>
    </w:p>
    <w:p w14:paraId="3330ED63" w14:textId="77777777" w:rsidR="00316537" w:rsidRDefault="00316537" w:rsidP="00316537">
      <w:pPr>
        <w:pStyle w:val="StyleA"/>
      </w:pPr>
      <w:r w:rsidRPr="00206D74">
        <w:t>Attendance</w:t>
      </w:r>
    </w:p>
    <w:p w14:paraId="770FC0B5" w14:textId="77777777" w:rsidR="00316537" w:rsidRDefault="00316537" w:rsidP="00316537">
      <w:pPr>
        <w:pStyle w:val="AppendBody"/>
      </w:pPr>
      <w:r w:rsidRPr="0014296D">
        <w:t>Meetings will be attended by</w:t>
      </w:r>
      <w:r>
        <w:t>:</w:t>
      </w:r>
    </w:p>
    <w:p w14:paraId="3260E67A" w14:textId="77777777" w:rsidR="00316537" w:rsidRDefault="00316537" w:rsidP="00316537">
      <w:pPr>
        <w:pStyle w:val="ListParagraph"/>
        <w:numPr>
          <w:ilvl w:val="0"/>
          <w:numId w:val="10"/>
        </w:numPr>
      </w:pPr>
      <w:r>
        <w:t>The Designated Decision Maker (clause 7) of each Party to the OA (</w:t>
      </w:r>
      <w:r w:rsidRPr="0014296D">
        <w:t xml:space="preserve">as </w:t>
      </w:r>
      <w:r w:rsidRPr="003B18D1">
        <w:t xml:space="preserve">defined in </w:t>
      </w:r>
      <w:r>
        <w:t xml:space="preserve">clause 2 </w:t>
      </w:r>
      <w:r w:rsidRPr="0014296D">
        <w:t>of the OA</w:t>
      </w:r>
      <w:r>
        <w:t>).</w:t>
      </w:r>
    </w:p>
    <w:p w14:paraId="4A76A093" w14:textId="77777777" w:rsidR="00316537" w:rsidRDefault="00316537" w:rsidP="00316537">
      <w:pPr>
        <w:pStyle w:val="ListParagraph"/>
        <w:numPr>
          <w:ilvl w:val="0"/>
          <w:numId w:val="10"/>
        </w:numPr>
      </w:pPr>
      <w:r>
        <w:t>U</w:t>
      </w:r>
      <w:r w:rsidRPr="00B54487">
        <w:t>p to three</w:t>
      </w:r>
      <w:r>
        <w:t xml:space="preserve"> additional</w:t>
      </w:r>
      <w:r w:rsidRPr="00B54487">
        <w:t xml:space="preserve"> representatives </w:t>
      </w:r>
      <w:r>
        <w:t xml:space="preserve">from the Parties as required. </w:t>
      </w:r>
    </w:p>
    <w:p w14:paraId="43FB0177" w14:textId="77777777" w:rsidR="00316537" w:rsidRDefault="00316537" w:rsidP="00316537">
      <w:pPr>
        <w:pStyle w:val="ListParagraph"/>
        <w:numPr>
          <w:ilvl w:val="0"/>
          <w:numId w:val="10"/>
        </w:numPr>
      </w:pPr>
      <w:r>
        <w:t>The Administrator.</w:t>
      </w:r>
    </w:p>
    <w:p w14:paraId="0F7418D0" w14:textId="77777777" w:rsidR="00316537" w:rsidRPr="000D21BC" w:rsidRDefault="00316537" w:rsidP="00316537">
      <w:pPr>
        <w:pStyle w:val="AppendBody"/>
      </w:pPr>
      <w:r w:rsidRPr="000D21BC">
        <w:t>At the discretion of FFC, meetings may be attended by:</w:t>
      </w:r>
    </w:p>
    <w:p w14:paraId="73E88A39" w14:textId="77777777" w:rsidR="00316537" w:rsidRDefault="00316537" w:rsidP="00316537">
      <w:pPr>
        <w:pStyle w:val="ListParagraph"/>
        <w:numPr>
          <w:ilvl w:val="0"/>
          <w:numId w:val="11"/>
        </w:numPr>
      </w:pPr>
      <w:r>
        <w:t>Invited participants – for example: broader horticulture representation, MPI project team members,</w:t>
      </w:r>
      <w:r w:rsidRPr="00B54487">
        <w:t xml:space="preserve"> </w:t>
      </w:r>
      <w:r>
        <w:t>the Chair of any technical working groups established by the Council etc.</w:t>
      </w:r>
      <w:r w:rsidRPr="000D21BC">
        <w:t xml:space="preserve"> </w:t>
      </w:r>
    </w:p>
    <w:p w14:paraId="3B0BA26C" w14:textId="77777777" w:rsidR="00316537" w:rsidRDefault="00316537" w:rsidP="00316537">
      <w:pPr>
        <w:pStyle w:val="ListParagraph"/>
        <w:numPr>
          <w:ilvl w:val="0"/>
          <w:numId w:val="11"/>
        </w:numPr>
      </w:pPr>
      <w:r w:rsidRPr="000D21BC">
        <w:t>Advisers – membership may be extended to individuals representing non-</w:t>
      </w:r>
      <w:r>
        <w:t>S</w:t>
      </w:r>
      <w:r w:rsidRPr="000D21BC">
        <w:t xml:space="preserve">ignatory </w:t>
      </w:r>
      <w:r>
        <w:t>beneficiaries</w:t>
      </w:r>
      <w:r w:rsidRPr="000D21BC">
        <w:t xml:space="preserve"> (see transition arrangements); GIA </w:t>
      </w:r>
      <w:r>
        <w:t>S</w:t>
      </w:r>
      <w:r w:rsidRPr="000D21BC">
        <w:t xml:space="preserve">ecretariat and </w:t>
      </w:r>
      <w:r>
        <w:t>S</w:t>
      </w:r>
      <w:r w:rsidRPr="000D21BC">
        <w:t>ignatories not party to this OA.</w:t>
      </w:r>
      <w:r>
        <w:t xml:space="preserve"> </w:t>
      </w:r>
    </w:p>
    <w:p w14:paraId="4862CA7F" w14:textId="77777777" w:rsidR="00316537" w:rsidRDefault="00316537" w:rsidP="00316537">
      <w:pPr>
        <w:pStyle w:val="ListParagraph"/>
        <w:numPr>
          <w:ilvl w:val="0"/>
          <w:numId w:val="11"/>
        </w:numPr>
      </w:pPr>
      <w:r w:rsidRPr="000D21BC">
        <w:t xml:space="preserve">These </w:t>
      </w:r>
      <w:r>
        <w:t>attendees</w:t>
      </w:r>
      <w:r w:rsidRPr="000D21BC">
        <w:t xml:space="preserve"> will have no decision-making </w:t>
      </w:r>
      <w:r>
        <w:t>rights</w:t>
      </w:r>
      <w:r w:rsidRPr="000D21BC">
        <w:t xml:space="preserve">. </w:t>
      </w:r>
    </w:p>
    <w:p w14:paraId="10FF4BFF" w14:textId="77777777" w:rsidR="00316537" w:rsidRPr="0014296D" w:rsidRDefault="00316537" w:rsidP="00316537">
      <w:pPr>
        <w:pStyle w:val="AppendBody"/>
      </w:pPr>
      <w:r w:rsidRPr="0014296D">
        <w:t xml:space="preserve">Council members will be considered </w:t>
      </w:r>
      <w:r>
        <w:t>Present</w:t>
      </w:r>
      <w:r w:rsidRPr="0014296D">
        <w:t xml:space="preserve"> when in attendance in person, on the phone or </w:t>
      </w:r>
      <w:r>
        <w:t xml:space="preserve">via </w:t>
      </w:r>
      <w:r w:rsidRPr="0014296D">
        <w:t xml:space="preserve">other electronic means or </w:t>
      </w:r>
      <w:r>
        <w:t>through a</w:t>
      </w:r>
      <w:r w:rsidRPr="0014296D">
        <w:t xml:space="preserve"> </w:t>
      </w:r>
      <w:r>
        <w:t>D</w:t>
      </w:r>
      <w:r w:rsidRPr="0014296D">
        <w:t xml:space="preserve">esignated </w:t>
      </w:r>
      <w:r>
        <w:t>P</w:t>
      </w:r>
      <w:r w:rsidRPr="0014296D">
        <w:t>roxy.</w:t>
      </w:r>
    </w:p>
    <w:p w14:paraId="2D1331A8" w14:textId="77777777" w:rsidR="00316537" w:rsidRDefault="00316537" w:rsidP="00316537">
      <w:pPr>
        <w:pStyle w:val="StyleA"/>
      </w:pPr>
      <w:r w:rsidRPr="00206D74">
        <w:t>Transition arrangements</w:t>
      </w:r>
      <w:r>
        <w:t xml:space="preserve"> for non-Signatory beneficiaries</w:t>
      </w:r>
    </w:p>
    <w:p w14:paraId="5464C077" w14:textId="77777777" w:rsidR="00316537" w:rsidRPr="0014296D" w:rsidRDefault="00316537" w:rsidP="00316537">
      <w:pPr>
        <w:pStyle w:val="AppendBody"/>
      </w:pPr>
      <w:r w:rsidRPr="000D21BC">
        <w:t>Non-</w:t>
      </w:r>
      <w:r>
        <w:t>S</w:t>
      </w:r>
      <w:r w:rsidRPr="000D21BC">
        <w:t xml:space="preserve">ignatory </w:t>
      </w:r>
      <w:r>
        <w:t>beneficiaries</w:t>
      </w:r>
      <w:r w:rsidRPr="000D21BC">
        <w:t xml:space="preserve"> that are in the process of seeking mandate and intend to sign both the Deed and the OA within six months of the OA first </w:t>
      </w:r>
      <w:r>
        <w:t xml:space="preserve">being </w:t>
      </w:r>
      <w:r w:rsidRPr="000D21BC">
        <w:t xml:space="preserve">signed may be involved in the governance of this OA as </w:t>
      </w:r>
      <w:r>
        <w:t>a</w:t>
      </w:r>
      <w:r w:rsidRPr="000D21BC">
        <w:t>dvisers at the discretion of the FFC.</w:t>
      </w:r>
      <w:r w:rsidRPr="004F3D4C">
        <w:t xml:space="preserve"> </w:t>
      </w:r>
    </w:p>
    <w:p w14:paraId="3838652E" w14:textId="77777777" w:rsidR="00316537" w:rsidRDefault="00316537" w:rsidP="00316537">
      <w:pPr>
        <w:pStyle w:val="StyleA"/>
      </w:pPr>
      <w:r w:rsidRPr="00206D74">
        <w:t>Resources and budget</w:t>
      </w:r>
    </w:p>
    <w:p w14:paraId="668E6848" w14:textId="77777777" w:rsidR="00316537" w:rsidRPr="003C1E03" w:rsidRDefault="00316537" w:rsidP="00316537">
      <w:pPr>
        <w:pStyle w:val="AppendBody"/>
      </w:pPr>
      <w:r>
        <w:t>Each Party’s c</w:t>
      </w:r>
      <w:r w:rsidRPr="003C1E03">
        <w:t xml:space="preserve">osts associated with participation on the Council (e.g., time, travel, accommodation) </w:t>
      </w:r>
      <w:r>
        <w:t>will</w:t>
      </w:r>
      <w:r w:rsidRPr="003C1E03">
        <w:t xml:space="preserve"> be met by </w:t>
      </w:r>
      <w:r>
        <w:t>that Party</w:t>
      </w:r>
      <w:r w:rsidRPr="003C1E03">
        <w:t>.</w:t>
      </w:r>
      <w:r>
        <w:t xml:space="preserve"> </w:t>
      </w:r>
    </w:p>
    <w:p w14:paraId="00437271" w14:textId="77777777" w:rsidR="00316537" w:rsidRPr="003C1E03" w:rsidRDefault="00316537" w:rsidP="00316537">
      <w:pPr>
        <w:pStyle w:val="AppendBody"/>
      </w:pPr>
      <w:r w:rsidRPr="003C1E03">
        <w:t xml:space="preserve">Wherever possible, </w:t>
      </w:r>
      <w:r>
        <w:t>Parties</w:t>
      </w:r>
      <w:r w:rsidRPr="003C1E03">
        <w:t xml:space="preserve"> will provi</w:t>
      </w:r>
      <w:r>
        <w:t>de in-kind contributions (e.g.</w:t>
      </w:r>
      <w:r w:rsidRPr="003C1E03">
        <w:t xml:space="preserve"> staff time) to complete any work assigned by the Council in order to keep costs down.</w:t>
      </w:r>
    </w:p>
    <w:p w14:paraId="368A1C30" w14:textId="77777777" w:rsidR="00316537" w:rsidRDefault="00316537" w:rsidP="00316537">
      <w:pPr>
        <w:pStyle w:val="AppendBody"/>
        <w:spacing w:after="120"/>
        <w:rPr>
          <w:lang w:eastAsia="en-GB"/>
        </w:rPr>
      </w:pPr>
      <w:r w:rsidRPr="003C1E03">
        <w:rPr>
          <w:lang w:eastAsia="en-GB"/>
        </w:rPr>
        <w:t xml:space="preserve">Any costs, additional to participation costs, will be shared </w:t>
      </w:r>
      <w:r>
        <w:rPr>
          <w:lang w:eastAsia="en-GB"/>
        </w:rPr>
        <w:t xml:space="preserve">in accordance with the agreed cost shares as stated in </w:t>
      </w:r>
      <w:r w:rsidRPr="00635E61">
        <w:t>Schedule B: Cost shares</w:t>
      </w:r>
      <w:r>
        <w:rPr>
          <w:lang w:eastAsia="en-GB"/>
        </w:rPr>
        <w:t xml:space="preserve"> of this OA.</w:t>
      </w:r>
    </w:p>
    <w:p w14:paraId="6B682DAF" w14:textId="77777777" w:rsidR="002F7674" w:rsidRDefault="002F7674"/>
    <w:sectPr w:rsidR="002F767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F1AE9" w14:textId="77777777" w:rsidR="00A155E6" w:rsidRDefault="00A155E6" w:rsidP="00A155E6">
      <w:pPr>
        <w:spacing w:after="0" w:line="240" w:lineRule="auto"/>
      </w:pPr>
      <w:r>
        <w:separator/>
      </w:r>
    </w:p>
  </w:endnote>
  <w:endnote w:type="continuationSeparator" w:id="0">
    <w:p w14:paraId="745F78E7" w14:textId="77777777" w:rsidR="00A155E6" w:rsidRDefault="00A155E6" w:rsidP="00A1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CF1FE" w14:textId="3E74786A" w:rsidR="00A155E6" w:rsidRDefault="00A155E6" w:rsidP="00A155E6">
    <w:pPr>
      <w:pStyle w:val="Footer"/>
      <w:jc w:val="right"/>
    </w:pPr>
    <w:r>
      <w:t>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1E402" w14:textId="77777777" w:rsidR="00A155E6" w:rsidRDefault="00A155E6" w:rsidP="00A155E6">
      <w:pPr>
        <w:spacing w:after="0" w:line="240" w:lineRule="auto"/>
      </w:pPr>
      <w:r>
        <w:separator/>
      </w:r>
    </w:p>
  </w:footnote>
  <w:footnote w:type="continuationSeparator" w:id="0">
    <w:p w14:paraId="47263A2F" w14:textId="77777777" w:rsidR="00A155E6" w:rsidRDefault="00A155E6" w:rsidP="00A1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111C"/>
    <w:multiLevelType w:val="multilevel"/>
    <w:tmpl w:val="40DA7D36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cs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6530" w:hanging="576"/>
      </w:pPr>
      <w:rPr>
        <w:rFonts w:cs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8C411C"/>
    <w:multiLevelType w:val="multilevel"/>
    <w:tmpl w:val="70F269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505" w:hanging="360"/>
      </w:pPr>
    </w:lvl>
    <w:lvl w:ilvl="6">
      <w:start w:val="1"/>
      <w:numFmt w:val="decimal"/>
      <w:pStyle w:val="Appendix2"/>
      <w:lvlText w:val="%7."/>
      <w:lvlJc w:val="left"/>
      <w:pPr>
        <w:ind w:left="3240" w:hanging="360"/>
      </w:pPr>
      <w:rPr>
        <w:rFonts w:ascii="Arial" w:hAnsi="Arial" w:cs="Arial" w:hint="default"/>
        <w:b/>
        <w:i w:val="0"/>
        <w:sz w:val="22"/>
      </w:r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3F4D2058"/>
    <w:multiLevelType w:val="hybridMultilevel"/>
    <w:tmpl w:val="71B481F2"/>
    <w:lvl w:ilvl="0" w:tplc="9F2CFF3E">
      <w:start w:val="1"/>
      <w:numFmt w:val="upperLetter"/>
      <w:pStyle w:val="StyleA"/>
      <w:lvlText w:val="%1.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2547F"/>
    <w:multiLevelType w:val="multilevel"/>
    <w:tmpl w:val="995E0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785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854299"/>
    <w:multiLevelType w:val="multilevel"/>
    <w:tmpl w:val="54B4CC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505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4C9230A3"/>
    <w:multiLevelType w:val="multilevel"/>
    <w:tmpl w:val="28A0ED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505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62036A31"/>
    <w:multiLevelType w:val="hybridMultilevel"/>
    <w:tmpl w:val="B6B01CCE"/>
    <w:lvl w:ilvl="0" w:tplc="89EA6256">
      <w:start w:val="1"/>
      <w:numFmt w:val="lowerRoman"/>
      <w:pStyle w:val="Bodyi"/>
      <w:lvlText w:val="%1)"/>
      <w:lvlJc w:val="left"/>
      <w:pPr>
        <w:ind w:left="229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968D2EE">
      <w:start w:val="1"/>
      <w:numFmt w:val="lowerRoman"/>
      <w:pStyle w:val="ListParagraph"/>
      <w:lvlText w:val="%2."/>
      <w:lvlJc w:val="right"/>
      <w:pPr>
        <w:ind w:left="2290" w:hanging="360"/>
      </w:pPr>
    </w:lvl>
    <w:lvl w:ilvl="2" w:tplc="1409001B">
      <w:start w:val="1"/>
      <w:numFmt w:val="lowerRoman"/>
      <w:lvlText w:val="%3."/>
      <w:lvlJc w:val="right"/>
      <w:pPr>
        <w:ind w:left="3010" w:hanging="180"/>
      </w:pPr>
    </w:lvl>
    <w:lvl w:ilvl="3" w:tplc="1409000F">
      <w:start w:val="1"/>
      <w:numFmt w:val="decimal"/>
      <w:lvlText w:val="%4."/>
      <w:lvlJc w:val="left"/>
      <w:pPr>
        <w:ind w:left="3730" w:hanging="360"/>
      </w:pPr>
    </w:lvl>
    <w:lvl w:ilvl="4" w:tplc="14090019">
      <w:start w:val="1"/>
      <w:numFmt w:val="lowerLetter"/>
      <w:lvlText w:val="%5."/>
      <w:lvlJc w:val="left"/>
      <w:pPr>
        <w:ind w:left="4450" w:hanging="360"/>
      </w:pPr>
    </w:lvl>
    <w:lvl w:ilvl="5" w:tplc="1409001B" w:tentative="1">
      <w:start w:val="1"/>
      <w:numFmt w:val="lowerRoman"/>
      <w:lvlText w:val="%6."/>
      <w:lvlJc w:val="right"/>
      <w:pPr>
        <w:ind w:left="5170" w:hanging="180"/>
      </w:pPr>
    </w:lvl>
    <w:lvl w:ilvl="6" w:tplc="1409000F" w:tentative="1">
      <w:start w:val="1"/>
      <w:numFmt w:val="decimal"/>
      <w:lvlText w:val="%7."/>
      <w:lvlJc w:val="left"/>
      <w:pPr>
        <w:ind w:left="5890" w:hanging="360"/>
      </w:pPr>
    </w:lvl>
    <w:lvl w:ilvl="7" w:tplc="14090019" w:tentative="1">
      <w:start w:val="1"/>
      <w:numFmt w:val="lowerLetter"/>
      <w:lvlText w:val="%8."/>
      <w:lvlJc w:val="left"/>
      <w:pPr>
        <w:ind w:left="6610" w:hanging="360"/>
      </w:pPr>
    </w:lvl>
    <w:lvl w:ilvl="8" w:tplc="1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6DDD126C"/>
    <w:multiLevelType w:val="hybridMultilevel"/>
    <w:tmpl w:val="D4F2CF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F05667"/>
    <w:multiLevelType w:val="hybridMultilevel"/>
    <w:tmpl w:val="CEC284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045A"/>
    <w:multiLevelType w:val="multilevel"/>
    <w:tmpl w:val="54B4C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720" w:hanging="360"/>
      </w:pPr>
    </w:lvl>
    <w:lvl w:ilvl="5">
      <w:start w:val="1"/>
      <w:numFmt w:val="lowerRoman"/>
      <w:lvlText w:val="(%6)"/>
      <w:lvlJc w:val="left"/>
      <w:pPr>
        <w:ind w:left="1145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7F7F0512"/>
    <w:multiLevelType w:val="multilevel"/>
    <w:tmpl w:val="28A0ED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505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37"/>
    <w:rsid w:val="002F7674"/>
    <w:rsid w:val="00316537"/>
    <w:rsid w:val="007A6F25"/>
    <w:rsid w:val="00A1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CCE6"/>
  <w15:chartTrackingRefBased/>
  <w15:docId w15:val="{BBF0885E-6D42-4B62-9312-6255A7C8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16537"/>
    <w:pPr>
      <w:keepNext/>
      <w:keepLines/>
      <w:numPr>
        <w:numId w:val="1"/>
      </w:numPr>
      <w:spacing w:before="360" w:after="120" w:line="276" w:lineRule="auto"/>
      <w:ind w:left="426" w:hanging="426"/>
      <w:outlineLvl w:val="0"/>
    </w:pPr>
    <w:rPr>
      <w:rFonts w:ascii="Arial" w:eastAsia="Calibri" w:hAnsi="Arial" w:cs="Times New Roman"/>
      <w:b/>
      <w:bCs/>
      <w:sz w:val="28"/>
      <w:szCs w:val="28"/>
      <w:u w:color="FFFFFF" w:themeColor="background1"/>
    </w:rPr>
  </w:style>
  <w:style w:type="paragraph" w:styleId="Heading2">
    <w:name w:val="heading 2"/>
    <w:basedOn w:val="Normal"/>
    <w:next w:val="Normal"/>
    <w:link w:val="Heading2Char"/>
    <w:uiPriority w:val="1"/>
    <w:qFormat/>
    <w:rsid w:val="00316537"/>
    <w:pPr>
      <w:keepNext/>
      <w:numPr>
        <w:ilvl w:val="1"/>
        <w:numId w:val="1"/>
      </w:numPr>
      <w:spacing w:before="240" w:after="60" w:line="276" w:lineRule="auto"/>
      <w:ind w:left="1134" w:hanging="708"/>
      <w:outlineLvl w:val="1"/>
    </w:pPr>
    <w:rPr>
      <w:rFonts w:ascii="Arial" w:eastAsia="Times New Roman" w:hAnsi="Arial" w:cs="Times New Roman"/>
      <w:b/>
      <w:bCs/>
      <w:iCs/>
      <w:sz w:val="24"/>
      <w:szCs w:val="28"/>
      <w:u w:color="FFFFFF" w:themeColor="background1"/>
    </w:rPr>
  </w:style>
  <w:style w:type="paragraph" w:styleId="Heading3">
    <w:name w:val="heading 3"/>
    <w:basedOn w:val="Normal"/>
    <w:next w:val="Normal"/>
    <w:link w:val="Heading3Char"/>
    <w:uiPriority w:val="1"/>
    <w:qFormat/>
    <w:rsid w:val="00316537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Arial" w:eastAsia="Calibri" w:hAnsi="Arial" w:cs="Times New Roman"/>
      <w:bCs/>
      <w:szCs w:val="26"/>
      <w:u w:color="FFFFFF" w:themeColor="background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537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53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53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53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53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53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537"/>
    <w:rPr>
      <w:rFonts w:ascii="Arial" w:eastAsia="Calibri" w:hAnsi="Arial" w:cs="Times New Roman"/>
      <w:b/>
      <w:bCs/>
      <w:sz w:val="28"/>
      <w:szCs w:val="28"/>
      <w:u w:color="FFFFFF" w:themeColor="background1"/>
    </w:rPr>
  </w:style>
  <w:style w:type="character" w:customStyle="1" w:styleId="Heading2Char">
    <w:name w:val="Heading 2 Char"/>
    <w:basedOn w:val="DefaultParagraphFont"/>
    <w:link w:val="Heading2"/>
    <w:uiPriority w:val="1"/>
    <w:rsid w:val="00316537"/>
    <w:rPr>
      <w:rFonts w:ascii="Arial" w:eastAsia="Times New Roman" w:hAnsi="Arial" w:cs="Times New Roman"/>
      <w:b/>
      <w:bCs/>
      <w:iCs/>
      <w:sz w:val="24"/>
      <w:szCs w:val="28"/>
      <w:u w:color="FFFFFF" w:themeColor="background1"/>
    </w:rPr>
  </w:style>
  <w:style w:type="character" w:customStyle="1" w:styleId="Heading3Char">
    <w:name w:val="Heading 3 Char"/>
    <w:basedOn w:val="DefaultParagraphFont"/>
    <w:link w:val="Heading3"/>
    <w:uiPriority w:val="1"/>
    <w:rsid w:val="00316537"/>
    <w:rPr>
      <w:rFonts w:ascii="Arial" w:eastAsia="Calibri" w:hAnsi="Arial" w:cs="Times New Roman"/>
      <w:bCs/>
      <w:szCs w:val="26"/>
      <w:u w:color="FFFFFF" w:themeColor="background1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16537"/>
    <w:pPr>
      <w:numPr>
        <w:ilvl w:val="1"/>
        <w:numId w:val="2"/>
      </w:numPr>
      <w:spacing w:after="200" w:line="276" w:lineRule="auto"/>
    </w:pPr>
    <w:rPr>
      <w:rFonts w:ascii="Arial" w:eastAsia="Times New Roman" w:hAnsi="Arial" w:cs="Arial"/>
      <w:u w:color="FFFFFF" w:themeColor="background1"/>
    </w:rPr>
  </w:style>
  <w:style w:type="paragraph" w:customStyle="1" w:styleId="Bodyi">
    <w:name w:val="Body i"/>
    <w:basedOn w:val="Normal"/>
    <w:qFormat/>
    <w:rsid w:val="00316537"/>
    <w:pPr>
      <w:numPr>
        <w:numId w:val="2"/>
      </w:numPr>
      <w:spacing w:after="200" w:line="276" w:lineRule="auto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6537"/>
    <w:rPr>
      <w:rFonts w:ascii="Arial" w:eastAsia="Times New Roman" w:hAnsi="Arial" w:cs="Arial"/>
      <w:u w:color="FFFFFF" w:themeColor="background1"/>
    </w:rPr>
  </w:style>
  <w:style w:type="paragraph" w:customStyle="1" w:styleId="StyleA">
    <w:name w:val="Style A"/>
    <w:basedOn w:val="ListParagraph"/>
    <w:link w:val="StyleAChar"/>
    <w:qFormat/>
    <w:rsid w:val="00316537"/>
    <w:pPr>
      <w:numPr>
        <w:ilvl w:val="0"/>
        <w:numId w:val="3"/>
      </w:numPr>
    </w:pPr>
    <w:rPr>
      <w:b/>
    </w:rPr>
  </w:style>
  <w:style w:type="paragraph" w:customStyle="1" w:styleId="AppendBody">
    <w:name w:val="Append Body"/>
    <w:basedOn w:val="Normal"/>
    <w:link w:val="AppendBodyChar"/>
    <w:qFormat/>
    <w:rsid w:val="00316537"/>
    <w:pPr>
      <w:spacing w:after="200" w:line="276" w:lineRule="auto"/>
    </w:pPr>
    <w:rPr>
      <w:rFonts w:ascii="Arial" w:eastAsia="Calibri" w:hAnsi="Arial" w:cs="Times New Roman"/>
      <w:u w:color="FFFFFF" w:themeColor="background1"/>
    </w:rPr>
  </w:style>
  <w:style w:type="character" w:customStyle="1" w:styleId="StyleAChar">
    <w:name w:val="Style A Char"/>
    <w:basedOn w:val="ListParagraphChar"/>
    <w:link w:val="StyleA"/>
    <w:rsid w:val="00316537"/>
    <w:rPr>
      <w:rFonts w:ascii="Arial" w:eastAsia="Times New Roman" w:hAnsi="Arial" w:cs="Arial"/>
      <w:b/>
      <w:u w:color="FFFFFF" w:themeColor="background1"/>
    </w:rPr>
  </w:style>
  <w:style w:type="character" w:customStyle="1" w:styleId="AppendBodyChar">
    <w:name w:val="Append Body Char"/>
    <w:basedOn w:val="DefaultParagraphFont"/>
    <w:link w:val="AppendBody"/>
    <w:rsid w:val="00316537"/>
    <w:rPr>
      <w:rFonts w:ascii="Arial" w:eastAsia="Calibri" w:hAnsi="Arial" w:cs="Times New Roman"/>
      <w:u w:color="FFFFFF" w:themeColor="background1"/>
    </w:rPr>
  </w:style>
  <w:style w:type="paragraph" w:customStyle="1" w:styleId="Appendix2">
    <w:name w:val="Appendix 2"/>
    <w:basedOn w:val="ListParagraph"/>
    <w:qFormat/>
    <w:rsid w:val="00316537"/>
    <w:pPr>
      <w:numPr>
        <w:ilvl w:val="6"/>
        <w:numId w:val="11"/>
      </w:numPr>
      <w:tabs>
        <w:tab w:val="num" w:pos="360"/>
      </w:tabs>
      <w:ind w:left="709" w:hanging="70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1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E6"/>
  </w:style>
  <w:style w:type="paragraph" w:styleId="Footer">
    <w:name w:val="footer"/>
    <w:basedOn w:val="Normal"/>
    <w:link w:val="FooterChar"/>
    <w:uiPriority w:val="99"/>
    <w:unhideWhenUsed/>
    <w:rsid w:val="00A1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k182b6bd2a994f8f95e924da00d78e9b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k182b6bd2a994f8f95e924da00d78e9b>
    <PingarLastProcessed xmlns="4ee17582-4bfd-407b-b553-e98b9af73715" xsi:nil="true"/>
    <IconOverlay xmlns="http://schemas.microsoft.com/sharepoint/v4" xsi:nil="true"/>
    <ffcdb518397e41e8a5447fa46841a57f xmlns="4ee17582-4bfd-407b-b553-e98b9af73715">
      <Terms xmlns="http://schemas.microsoft.com/office/infopath/2007/PartnerControls"/>
    </ffcdb518397e41e8a5447fa46841a57f>
    <TaxKeywordTaxHTField xmlns="4ee17582-4bfd-407b-b553-e98b9af73715">
      <Terms xmlns="http://schemas.microsoft.com/office/infopath/2007/PartnerControls"/>
    </TaxKeywordTaxHTField>
    <e5d101e695d0413894eac226a6aa764c xmlns="4ee17582-4bfd-407b-b553-e98b9af73715">
      <Terms xmlns="http://schemas.microsoft.com/office/infopath/2007/PartnerControls"/>
    </e5d101e695d0413894eac226a6aa764c>
    <TaxCatchAll xmlns="4ee17582-4bfd-407b-b553-e98b9af73715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C865BF6436BAE644B64C82DE8CF575B0" ma:contentTypeVersion="2" ma:contentTypeDescription="Create a new Word Document" ma:contentTypeScope="" ma:versionID="825cfea8081f0282be458d6cb662c0b3">
  <xsd:schema xmlns:xsd="http://www.w3.org/2001/XMLSchema" xmlns:xs="http://www.w3.org/2001/XMLSchema" xmlns:p="http://schemas.microsoft.com/office/2006/metadata/properties" xmlns:ns3="01be4277-2979-4a68-876d-b92b25fceece" xmlns:ns4="4ee17582-4bfd-407b-b553-e98b9af73715" xmlns:ns6="http://schemas.microsoft.com/sharepoint/v4" targetNamespace="http://schemas.microsoft.com/office/2006/metadata/properties" ma:root="true" ma:fieldsID="355feae272fc58adeb76ddbe54677b36" ns3:_="" ns4:_="" ns6:_="">
    <xsd:import namespace="01be4277-2979-4a68-876d-b92b25fceece"/>
    <xsd:import namespace="4ee17582-4bfd-407b-b553-e98b9af7371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182b6bd2a994f8f95e924da00d78e9b" minOccurs="0"/>
                <xsd:element ref="ns4:ffcdb518397e41e8a5447fa46841a57f" minOccurs="0"/>
                <xsd:element ref="ns4:e5d101e695d0413894eac226a6aa764c" minOccurs="0"/>
                <xsd:element ref="ns4:PingarLastProcessed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3a592a89-6bc1-4c8c-80ff-f37625b7c14c" ma:anchorId="38ae38ec-6b72-44dd-97bb-8973b587481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17582-4bfd-407b-b553-e98b9af737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49d6d31-bb35-4f13-bfd6-ffd1e34fa547}" ma:internalName="TaxCatchAll" ma:showField="CatchAllData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49d6d31-bb35-4f13-bfd6-ffd1e34fa547}" ma:internalName="TaxCatchAllLabel" ma:readOnly="true" ma:showField="CatchAllDataLabel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82b6bd2a994f8f95e924da00d78e9b" ma:index="14" nillable="true" ma:taxonomy="true" ma:internalName="k182b6bd2a994f8f95e924da00d78e9b" ma:taxonomyFieldName="MPISecurityClassification" ma:displayName="Security Classification" ma:default="1;#None|cf402fa0-b6a8-49a7-a22e-a95b6152c608" ma:fieldId="{4182b6bd-2a99-4f8f-95e9-24da00d78e9b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cdb518397e41e8a5447fa46841a57f" ma:index="17" nillable="true" ma:taxonomy="true" ma:internalName="ffcdb518397e41e8a5447fa46841a57f" ma:taxonomyFieldName="MPIYear" ma:displayName="Year" ma:default="" ma:fieldId="{ffcdb518-397e-41e8-a544-7fa46841a57f}" ma:sspId="3bfd400a-bb0f-42a8-a885-98b592a0f767" ma:termSetId="a2794d3b-ad43-433c-baba-58d8fc3e78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d101e695d0413894eac226a6aa764c" ma:index="20" nillable="true" ma:taxonomy="true" ma:internalName="e5d101e695d0413894eac226a6aa764c" ma:taxonomyFieldName="PingarMPI_Terms" ma:displayName="Derived Terms" ma:fieldId="{e5d101e6-95d0-4138-94ea-c226a6aa764c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21" nillable="true" ma:displayName="PingarLastProcessed" ma:format="DateTime" ma:internalName="Pinga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BE594-A1FD-4535-98AA-55AB3204ACB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ee17582-4bfd-407b-b553-e98b9af73715"/>
    <ds:schemaRef ds:uri="http://schemas.microsoft.com/sharepoint/v4"/>
    <ds:schemaRef ds:uri="01be4277-2979-4a68-876d-b92b25fcee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6D7A96-4888-46FD-BC5C-B82FE2310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F4DEB-B3FF-4743-ADB9-CE52141354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D98106-75B3-471B-B971-D8BCA446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4ee17582-4bfd-407b-b553-e98b9af7371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 (GIA)</dc:creator>
  <cp:keywords/>
  <dc:description/>
  <cp:lastModifiedBy>Rowena Burton</cp:lastModifiedBy>
  <cp:revision>2</cp:revision>
  <dcterms:created xsi:type="dcterms:W3CDTF">2017-12-19T02:41:00Z</dcterms:created>
  <dcterms:modified xsi:type="dcterms:W3CDTF">2017-12-19T02:41:00Z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0x0101005496552013C0BA46BE88192D5C6EB20B00BC7B51C3C3DA487E91D1E0ED95F8C85C00C865BF6436BAE644B64C82DE8CF575B0</vt:lpwstr>
  </property>
  <property fmtid="{D5CDD505-2E9C-101B-9397-08002B2CF9AE}" pid="3" name="TaxKeyword">
    <vt:lpwstr/>
  </property>
  <property fmtid="{D5CDD505-2E9C-101B-9397-08002B2CF9AE}" pid="4" name="MPIYear">
    <vt:lpwstr/>
  </property>
  <property fmtid="{D5CDD505-2E9C-101B-9397-08002B2CF9AE}" pid="5" name="MPISecurityClassification">
    <vt:lpwstr>1;#None|cf402fa0-b6a8-49a7-a22e-a95b6152c608</vt:lpwstr>
  </property>
  <property fmtid="{D5CDD505-2E9C-101B-9397-08002B2CF9AE}" pid="6" name="RecordPoint_ActiveItemUniqueId">
    <vt:lpwstr>{1b845bd2-f581-456e-913f-d6cd7e8202f1}</vt:lpwstr>
  </property>
  <property fmtid="{D5CDD505-2E9C-101B-9397-08002B2CF9AE}" pid="7" name="PingarMPI_Terms">
    <vt:lpwstr/>
  </property>
  <property fmtid="{D5CDD505-2E9C-101B-9397-08002B2CF9AE}" pid="8" name="C3Topic">
    <vt:lpwstr/>
  </property>
  <property fmtid="{D5CDD505-2E9C-101B-9397-08002B2CF9AE}" pid="9" name="RecordPoint_WorkflowType">
    <vt:lpwstr>ActiveSubmitStub</vt:lpwstr>
  </property>
  <property fmtid="{D5CDD505-2E9C-101B-9397-08002B2CF9AE}" pid="10" name="RecordPoint_ActiveItemWebId">
    <vt:lpwstr>{d3f04473-c0c5-486a-8e86-8b31f0d90391}</vt:lpwstr>
  </property>
  <property fmtid="{D5CDD505-2E9C-101B-9397-08002B2CF9AE}" pid="11" name="RecordPoint_ActiveItemSiteId">
    <vt:lpwstr>{5be09418-e8a7-4c01-88e6-46c25371056e}</vt:lpwstr>
  </property>
  <property fmtid="{D5CDD505-2E9C-101B-9397-08002B2CF9AE}" pid="12" name="RecordPoint_ActiveItemListId">
    <vt:lpwstr>{4731a8d9-eb9e-4c3b-8bc2-71132778e0ef}</vt:lpwstr>
  </property>
</Properties>
</file>